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LV-C[C4]-I[4-3-1-1-i-] Support for assessing and improving the quality and accessibility of non-hospital secondary healthcare</w:t>
      </w:r>
    </w:p>
    <w:p w:rsidR="00DC6807" w:rsidRPr="00905B9C" w:rsidP="01BD11D8" w14:paraId="4C22E5B9" w14:textId="470FD0EC">
      <w:pPr>
        <w:jc w:val="right"/>
        <w:rPr>
          <w:b/>
          <w:bCs/>
          <w:highlight w:val="cyan"/>
          <w:lang w:val="fr-BE"/>
        </w:rPr>
      </w:pPr>
      <w:r w:rsidRPr="00905B9C" w:rsidR="005B3C6E">
        <w:rPr>
          <w:b/>
          <w:bCs/>
          <w:lang w:val="fr-BE"/>
        </w:rPr>
        <w:t>LV-C[C4]-I[4-3-1-1-i-]-M[153] Mainstreaming results of quality, availability and accessibility of non-hospital secondary care study into health policy developments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measure is to identify the weak spots in the provision of the state paid non</w:t>
        <w:footnoteRef/>
        <w:t>hospital secondary healthcare services. The investment consists of a study on the quality and accessibility of state paid non-hospital secondary healthcare services, mapping of comprehensive non-hospital secondary care needs and challenges linked to the implementation of the administrative territorial reform as well as the development of policy recommendations. The investment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C4.4-3-1-1-i- Support for assessing and improving the quality and accessibility of non-hospital secondary healthcare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Mainstreaming results of quality, availability and accessibility of non-hospital secondary care study into health policy developments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amendments to legal acts aimed  to increase the quality, availability and accessibility of non-hospital secondary care</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Based on the results of the research on quality, availability and accessibility of non-hospital secondary care, entry into force of amendments to legal acts related to public health policies, recommendations for hospitals and service delivery planning documents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and link of the publication in the Official Journal of amendments to legal acts, accompanied by a reference to the relevant provisions indicating the entry into force and by a document duly justifying how the milestone (including all the constitutive elements) was satisfactorily fulfilled, with appropriate links to the underlying evidence. This document shall include copies of and links to the results of the research on quality, availability and accessibility of non</w:t>
        <w:footnoteRef/>
        <w:t>hospital secondary healthcare and an explanation on how the results of the research were taken into account for the preparation of the legal acts.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The desription of the milestone shall be understood as meaning entry into force of amendments to three types of acts: - legal acts related to public health policies, - recommendations for hospitals and - service delivery planning documents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